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C448E">
      <w:pPr>
        <w:pStyle w:val="128"/>
        <w:tabs>
          <w:tab w:val="right" w:pos="9639"/>
        </w:tabs>
        <w:spacing w:after="0"/>
        <w:rPr>
          <w:rFonts w:hint="default" w:eastAsia="宋体"/>
          <w:b/>
          <w:i/>
          <w:sz w:val="28"/>
          <w:lang w:val="en-US" w:eastAsia="zh-CN"/>
        </w:rPr>
      </w:pPr>
      <w:r>
        <w:rPr>
          <w:b/>
          <w:sz w:val="24"/>
        </w:rPr>
        <w:t>3GPP TSG-SA5 Meeting #162</w:t>
      </w:r>
      <w:r>
        <w:rPr>
          <w:b/>
          <w:i/>
          <w:sz w:val="28"/>
        </w:rPr>
        <w:tab/>
      </w:r>
      <w:r>
        <w:rPr>
          <w:rFonts w:hint="eastAsia"/>
          <w:b/>
          <w:i/>
          <w:sz w:val="28"/>
        </w:rPr>
        <w:t>S5-253648</w:t>
      </w:r>
      <w:bookmarkStart w:id="0" w:name="_GoBack"/>
      <w:bookmarkEnd w:id="0"/>
    </w:p>
    <w:p w14:paraId="6F6EBB6C">
      <w:pPr>
        <w:pStyle w:val="62"/>
        <w:rPr>
          <w:sz w:val="22"/>
          <w:szCs w:val="22"/>
        </w:rPr>
      </w:pPr>
      <w:r>
        <w:rPr>
          <w:sz w:val="24"/>
        </w:rPr>
        <w:t>Goteborg, Sweden, 25 - 29 August 2025</w:t>
      </w:r>
    </w:p>
    <w:p w14:paraId="2A693B7E">
      <w:pPr>
        <w:keepNext/>
        <w:pBdr>
          <w:bottom w:val="single" w:color="auto" w:sz="4" w:space="1"/>
        </w:pBdr>
        <w:tabs>
          <w:tab w:val="right" w:pos="9639"/>
        </w:tabs>
        <w:outlineLvl w:val="0"/>
        <w:rPr>
          <w:rFonts w:ascii="Arial" w:hAnsi="Arial" w:cs="Arial"/>
          <w:b/>
          <w:bCs/>
          <w:sz w:val="24"/>
        </w:rPr>
      </w:pPr>
    </w:p>
    <w:p w14:paraId="436DC692">
      <w:pPr>
        <w:keepNext/>
        <w:tabs>
          <w:tab w:val="left" w:pos="2127"/>
        </w:tabs>
        <w:spacing w:after="0"/>
        <w:ind w:left="2126" w:hanging="2126"/>
        <w:outlineLvl w:val="0"/>
        <w:rPr>
          <w:rFonts w:hint="eastAsia"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CSCN</w:t>
      </w:r>
    </w:p>
    <w:p w14:paraId="7EE05D27">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hint="eastAsia" w:ascii="Arial" w:hAnsi="Arial" w:cs="Arial"/>
          <w:b/>
          <w:lang w:val="en-US" w:eastAsia="zh-CN"/>
        </w:rPr>
        <w:t>DP on CDR generation</w:t>
      </w:r>
      <w:r>
        <w:rPr>
          <w:rFonts w:hint="eastAsia" w:ascii="Arial" w:hAnsi="Arial" w:cs="Arial"/>
          <w:b/>
          <w:lang w:eastAsia="zh-CN"/>
        </w:rPr>
        <w:t xml:space="preserve"> capability optimization</w:t>
      </w:r>
    </w:p>
    <w:p w14:paraId="1C126F7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54578F86">
      <w:pPr>
        <w:keepNext/>
        <w:pBdr>
          <w:bottom w:val="single" w:color="auto" w:sz="4" w:space="1"/>
        </w:pBdr>
        <w:tabs>
          <w:tab w:val="left" w:pos="2127"/>
        </w:tabs>
        <w:spacing w:after="0"/>
        <w:ind w:left="2126" w:hanging="2126"/>
        <w:rPr>
          <w:rFonts w:hint="eastAsia" w:ascii="Arial" w:hAnsi="Arial" w:eastAsia="宋体"/>
          <w:b/>
          <w:lang w:val="en-US" w:eastAsia="zh-CN"/>
        </w:rPr>
      </w:pPr>
      <w:r>
        <w:rPr>
          <w:rFonts w:ascii="Arial" w:hAnsi="Arial"/>
          <w:b/>
        </w:rPr>
        <w:t>Agenda Item:</w:t>
      </w:r>
      <w:r>
        <w:rPr>
          <w:rFonts w:ascii="Arial" w:hAnsi="Arial"/>
          <w:b/>
        </w:rPr>
        <w:tab/>
      </w:r>
      <w:r>
        <w:rPr>
          <w:rFonts w:hint="default" w:ascii="Arial" w:hAnsi="Arial"/>
          <w:b/>
          <w:lang w:val="en-US"/>
        </w:rPr>
        <w:t>7.</w:t>
      </w:r>
      <w:r>
        <w:rPr>
          <w:rFonts w:hint="eastAsia" w:ascii="Arial" w:hAnsi="Arial"/>
          <w:b/>
          <w:lang w:val="en-US" w:eastAsia="zh-CN"/>
        </w:rPr>
        <w:t>2</w:t>
      </w:r>
    </w:p>
    <w:p w14:paraId="13D426F8">
      <w:pPr>
        <w:pStyle w:val="3"/>
      </w:pPr>
      <w:r>
        <w:t>1</w:t>
      </w:r>
      <w:r>
        <w:tab/>
      </w:r>
      <w:r>
        <w:t>Decision/action requested</w:t>
      </w:r>
    </w:p>
    <w:p w14:paraId="642D5E89">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rFonts w:hint="default"/>
          <w:b/>
          <w:i/>
          <w:lang w:val="en-US" w:eastAsia="zh-CN"/>
        </w:rPr>
        <w:t>Discussion</w:t>
      </w:r>
      <w:r>
        <w:rPr>
          <w:rFonts w:hint="eastAsia"/>
          <w:b/>
          <w:i/>
          <w:lang w:eastAsia="zh-CN"/>
        </w:rPr>
        <w:t xml:space="preserve"> to optimize </w:t>
      </w:r>
      <w:r>
        <w:rPr>
          <w:rFonts w:hint="eastAsia"/>
          <w:b/>
          <w:i/>
          <w:lang w:val="en-US" w:eastAsia="zh-CN"/>
        </w:rPr>
        <w:t>CDR generation</w:t>
      </w:r>
      <w:r>
        <w:rPr>
          <w:rFonts w:hint="eastAsia"/>
          <w:b/>
          <w:i/>
          <w:lang w:eastAsia="zh-CN"/>
        </w:rPr>
        <w:t xml:space="preserve"> capability</w:t>
      </w:r>
    </w:p>
    <w:p w14:paraId="6F93C75D">
      <w:pPr>
        <w:pStyle w:val="3"/>
      </w:pPr>
      <w:r>
        <w:t>2</w:t>
      </w:r>
      <w:r>
        <w:tab/>
      </w:r>
      <w:r>
        <w:t>References</w:t>
      </w:r>
    </w:p>
    <w:p w14:paraId="6D8E40C2">
      <w:pPr>
        <w:pStyle w:val="132"/>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[1] 3GPP TS 32.240 3rd Generation Partnership Project; Technical Specification Group Services and System Aspects;</w:t>
      </w:r>
    </w:p>
    <w:p w14:paraId="69D137CB">
      <w:pPr>
        <w:pStyle w:val="132"/>
        <w:rPr>
          <w:rFonts w:hint="default"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Telecommunication management; Charging management; Charging architecture and principles</w:t>
      </w:r>
    </w:p>
    <w:p w14:paraId="26135B5A">
      <w:pPr>
        <w:pStyle w:val="132"/>
        <w:rPr>
          <w:rFonts w:hint="eastAsia"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[2] 3GPP TS 32.297 3rd Generation Partnership Project;Technical Specification Group Services and System Aspects;</w:t>
      </w:r>
    </w:p>
    <w:p w14:paraId="0540A9EA">
      <w:pPr>
        <w:pStyle w:val="132"/>
        <w:rPr>
          <w:rFonts w:hint="default" w:ascii="Times New Roman" w:hAnsi="Times New Roman" w:eastAsia="Times New Roman" w:cs="Times New Roman"/>
          <w:lang w:val="en-US" w:eastAsia="zh-CN" w:bidi="ar-SA"/>
        </w:rPr>
      </w:pPr>
      <w:r>
        <w:rPr>
          <w:rFonts w:hint="eastAsia" w:ascii="Times New Roman" w:hAnsi="Times New Roman" w:eastAsia="Times New Roman" w:cs="Times New Roman"/>
          <w:lang w:val="en-US" w:eastAsia="zh-CN" w:bidi="ar-SA"/>
        </w:rPr>
        <w:t>Telecommunication management; Charging management; Charging Data Record (CDR) file format and transfer</w:t>
      </w:r>
    </w:p>
    <w:p w14:paraId="1DE85D9E">
      <w:pPr>
        <w:pStyle w:val="3"/>
      </w:pPr>
      <w:r>
        <w:t>3</w:t>
      </w:r>
      <w:r>
        <w:tab/>
      </w:r>
      <w:r>
        <w:t>Rationale</w:t>
      </w:r>
    </w:p>
    <w:p w14:paraId="23BEC98E">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In offline only charging  system, the service-control decision is implemented in billing domain using CDR files. BD collects and processes CDRs files, and based on the charging information </w:t>
      </w:r>
      <w:r>
        <w:rPr>
          <w:rFonts w:hint="default" w:ascii="Times New Roman" w:hAnsi="Times New Roman" w:eastAsia="Times New Roman" w:cs="Times New Roman"/>
          <w:lang w:val="en-US" w:eastAsia="zh-CN"/>
        </w:rPr>
        <w:t>provided</w:t>
      </w:r>
      <w:r>
        <w:rPr>
          <w:rFonts w:hint="eastAsia" w:ascii="Times New Roman" w:hAnsi="Times New Roman" w:eastAsia="Times New Roman" w:cs="Times New Roman"/>
          <w:lang w:val="en-US" w:eastAsia="zh-CN"/>
        </w:rPr>
        <w:t xml:space="preserve"> by CDR, BD charges on the subscriber account. If BD finds the balance in subscriber account is below specific threshold, BD shall make cor</w:t>
      </w:r>
      <w:r>
        <w:rPr>
          <w:rFonts w:hint="default" w:ascii="Times New Roman" w:hAnsi="Times New Roman" w:eastAsia="Times New Roman" w:cs="Times New Roman"/>
          <w:lang w:val="en-US" w:eastAsia="zh-CN"/>
        </w:rPr>
        <w:t>r</w:t>
      </w:r>
      <w:r>
        <w:rPr>
          <w:rFonts w:hint="eastAsia" w:ascii="Times New Roman" w:hAnsi="Times New Roman" w:eastAsia="Times New Roman" w:cs="Times New Roman"/>
          <w:lang w:val="en-US" w:eastAsia="zh-CN"/>
        </w:rPr>
        <w:t xml:space="preserve">esponding service-control decisions, such as to decrease the maximum bit rate , or stop </w:t>
      </w:r>
      <w:r>
        <w:rPr>
          <w:rFonts w:hint="default" w:ascii="Times New Roman" w:hAnsi="Times New Roman" w:eastAsia="Times New Roman" w:cs="Times New Roman"/>
          <w:lang w:val="en-US" w:eastAsia="zh-CN"/>
        </w:rPr>
        <w:t>service</w:t>
      </w:r>
      <w:r>
        <w:rPr>
          <w:rFonts w:hint="eastAsia" w:ascii="Times New Roman" w:hAnsi="Times New Roman" w:eastAsia="Times New Roman" w:cs="Times New Roman"/>
          <w:lang w:val="en-US" w:eastAsia="zh-CN"/>
        </w:rPr>
        <w:t>, etc.</w:t>
      </w:r>
    </w:p>
    <w:p w14:paraId="203F5917">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Per TS 32.240, CDRs files are generated as below procedure:</w:t>
      </w:r>
    </w:p>
    <w:p w14:paraId="1BD4FD5E">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Upon receiving a charging event, the CDF uses the event to create/open a CDR. The CDR may be closed due to a number of reasons configured on the CDF or dependent on implementation, including but not limited to:</w:t>
      </w:r>
    </w:p>
    <w:p w14:paraId="050E2263">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time limit;</w:t>
      </w:r>
    </w:p>
    <w:p w14:paraId="797425CD">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volume limit;</w:t>
      </w:r>
    </w:p>
    <w:p w14:paraId="260E0AE8">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limit of change of charging conditions;</w:t>
      </w:r>
    </w:p>
    <w:p w14:paraId="5593AEDA">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end of user session, e.g. reception of the final charging event describing the session termination;</w:t>
      </w:r>
    </w:p>
    <w:p w14:paraId="1D4F796D">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limits (e.g. memory size) imposed by implementation.</w:t>
      </w:r>
    </w:p>
    <w:p w14:paraId="7E18B91B">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 After the CDR is closed in CDF, it is immediately transferred to the CGF. The CDRs may be routed to one of several simultaneously open files inside the CGF. CDR files are closed on the CGF based on certain operator configured parameters, for example:</w:t>
      </w:r>
    </w:p>
    <w:p w14:paraId="080DE2CF">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file size limit,</w:t>
      </w:r>
    </w:p>
    <w:p w14:paraId="6E8F4465">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file duration (time) limit,</w:t>
      </w:r>
    </w:p>
    <w:p w14:paraId="56315E45">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time of day,</w:t>
      </w:r>
    </w:p>
    <w:p w14:paraId="709D013E">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maximum number of CDRs.</w:t>
      </w:r>
    </w:p>
    <w:p w14:paraId="5FC53D9F">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From above procedure, we can see that the threshold to close CDR on CDF and the threshold to close CDR files on CGF have an important impact on the delay that BD makes service-control decisions after subscriber </w:t>
      </w:r>
      <w:r>
        <w:rPr>
          <w:rFonts w:hint="default" w:ascii="Times New Roman" w:hAnsi="Times New Roman" w:eastAsia="Times New Roman" w:cs="Times New Roman"/>
          <w:lang w:val="en-US" w:eastAsia="zh-CN"/>
        </w:rPr>
        <w:t>account</w:t>
      </w:r>
      <w:r>
        <w:rPr>
          <w:rFonts w:hint="eastAsia" w:ascii="Times New Roman" w:hAnsi="Times New Roman" w:eastAsia="Times New Roman" w:cs="Times New Roman"/>
          <w:lang w:val="en-US" w:eastAsia="zh-CN"/>
        </w:rPr>
        <w:t xml:space="preserve"> reaches the service-control threshold. The higher the threshold in CDF and CGF is, the longer the delay for BD to make the service-control decision is.</w:t>
      </w:r>
    </w:p>
    <w:p w14:paraId="6376AF9F">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For example, for IMS charging, if the time limit threshold is set to 30 minutes in CDF to close CDR and the file duration limit is set to 15 minutes in CGF to close CDR files, there will be 45 minutes delay in BD to take credit-control action at most.</w:t>
      </w:r>
    </w:p>
    <w:p w14:paraId="3CE47DB2">
      <w:pPr>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So it is necessary to support the threshold configu</w:t>
      </w:r>
      <w:r>
        <w:rPr>
          <w:rFonts w:hint="default" w:ascii="Times New Roman" w:hAnsi="Times New Roman" w:eastAsia="Times New Roman" w:cs="Times New Roman"/>
          <w:lang w:val="en-US" w:eastAsia="zh-CN"/>
        </w:rPr>
        <w:t>r</w:t>
      </w:r>
      <w:r>
        <w:rPr>
          <w:rFonts w:hint="eastAsia" w:ascii="Times New Roman" w:hAnsi="Times New Roman" w:eastAsia="Times New Roman" w:cs="Times New Roman"/>
          <w:lang w:val="en-US" w:eastAsia="zh-CN"/>
        </w:rPr>
        <w:t xml:space="preserve">ation by groups on CDF and CGF. With this change, CDF and CGF can configure a lower threshold to close CDR and CDR files for high-risk subscriber group so that BD can make service-control for them more </w:t>
      </w:r>
      <w:r>
        <w:rPr>
          <w:rFonts w:hint="default" w:ascii="Times New Roman" w:hAnsi="Times New Roman" w:eastAsia="Times New Roman" w:cs="Times New Roman"/>
          <w:lang w:val="en-US" w:eastAsia="zh-CN"/>
        </w:rPr>
        <w:t>timely</w:t>
      </w:r>
      <w:r>
        <w:rPr>
          <w:rFonts w:hint="eastAsia" w:ascii="Times New Roman" w:hAnsi="Times New Roman" w:eastAsia="Times New Roman" w:cs="Times New Roman"/>
          <w:lang w:val="en-US" w:eastAsia="zh-CN"/>
        </w:rPr>
        <w:t xml:space="preserve">. On the other hand. a higher threshold can be configured for low-risk subscriber group, so that CDF and CGF can close CDR  and CDR files more infrequently to save </w:t>
      </w:r>
      <w:r>
        <w:rPr>
          <w:rFonts w:hint="default" w:ascii="Times New Roman" w:hAnsi="Times New Roman" w:eastAsia="Times New Roman" w:cs="Times New Roman"/>
          <w:lang w:val="en-US" w:eastAsia="zh-CN"/>
        </w:rPr>
        <w:t>signaling</w:t>
      </w:r>
      <w:r>
        <w:rPr>
          <w:rFonts w:hint="eastAsia" w:ascii="Times New Roman" w:hAnsi="Times New Roman" w:eastAsia="Times New Roman" w:cs="Times New Roman"/>
          <w:lang w:val="en-US" w:eastAsia="zh-CN"/>
        </w:rPr>
        <w:t xml:space="preserve"> and processing loads.</w:t>
      </w:r>
    </w:p>
    <w:p w14:paraId="459D8228">
      <w:pPr>
        <w:pStyle w:val="3"/>
      </w:pPr>
      <w:r>
        <w:t>4</w:t>
      </w:r>
      <w:r>
        <w:tab/>
      </w:r>
      <w:r>
        <w:t>Detailed proposal</w:t>
      </w:r>
    </w:p>
    <w:p w14:paraId="175FF1AA">
      <w:pPr>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When CDF closes CDR  due to a number of reasons, such as</w:t>
      </w:r>
    </w:p>
    <w:p w14:paraId="01E44C0C">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time limit;</w:t>
      </w:r>
    </w:p>
    <w:p w14:paraId="0034FEC7">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volume limit;</w:t>
      </w:r>
    </w:p>
    <w:p w14:paraId="3446288D">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 xml:space="preserve">Multiple </w:t>
      </w:r>
      <w:r>
        <w:rPr>
          <w:rFonts w:hint="eastAsia" w:ascii="Times New Roman" w:hAnsi="Times New Roman" w:eastAsia="Times New Roman" w:cs="Times New Roman"/>
        </w:rPr>
        <w:t>threshold</w:t>
      </w:r>
      <w:r>
        <w:rPr>
          <w:rFonts w:hint="eastAsia" w:ascii="Times New Roman" w:hAnsi="Times New Roman" w:eastAsia="Times New Roman" w:cs="Times New Roman"/>
          <w:lang w:val="en-US" w:eastAsia="zh-CN"/>
        </w:rPr>
        <w:t>s</w:t>
      </w:r>
      <w:r>
        <w:rPr>
          <w:rFonts w:hint="eastAsia" w:ascii="Times New Roman" w:hAnsi="Times New Roman" w:eastAsia="Times New Roman" w:cs="Times New Roman"/>
        </w:rPr>
        <w:t xml:space="preserve"> for </w:t>
      </w:r>
      <w:r>
        <w:rPr>
          <w:rFonts w:hint="eastAsia" w:ascii="Times New Roman" w:hAnsi="Times New Roman" w:eastAsia="Times New Roman" w:cs="Times New Roman"/>
          <w:lang w:val="en-US" w:eastAsia="zh-CN"/>
        </w:rPr>
        <w:t>one</w:t>
      </w:r>
      <w:r>
        <w:rPr>
          <w:rFonts w:hint="eastAsia" w:ascii="Times New Roman" w:hAnsi="Times New Roman" w:eastAsia="Times New Roman" w:cs="Times New Roman"/>
        </w:rPr>
        <w:t xml:space="preserve"> clos</w:t>
      </w:r>
      <w:r>
        <w:rPr>
          <w:rFonts w:hint="eastAsia" w:ascii="Times New Roman" w:hAnsi="Times New Roman" w:eastAsia="Times New Roman" w:cs="Times New Roman"/>
          <w:lang w:val="en-US" w:eastAsia="zh-CN"/>
        </w:rPr>
        <w:t xml:space="preserve">ure </w:t>
      </w:r>
      <w:r>
        <w:rPr>
          <w:rFonts w:hint="eastAsia" w:ascii="Times New Roman" w:hAnsi="Times New Roman" w:eastAsia="Times New Roman" w:cs="Times New Roman"/>
        </w:rPr>
        <w:t xml:space="preserve">reason </w:t>
      </w:r>
      <w:r>
        <w:rPr>
          <w:rFonts w:hint="eastAsia" w:ascii="Times New Roman" w:hAnsi="Times New Roman" w:eastAsia="Times New Roman" w:cs="Times New Roman"/>
          <w:lang w:val="en-US" w:eastAsia="zh-CN"/>
        </w:rPr>
        <w:t>can be configured on one CDF</w:t>
      </w:r>
      <w:r>
        <w:rPr>
          <w:rFonts w:hint="eastAsia" w:ascii="Times New Roman" w:hAnsi="Times New Roman" w:eastAsia="Times New Roman" w:cs="Times New Roman"/>
        </w:rPr>
        <w:t>.</w:t>
      </w:r>
      <w:r>
        <w:rPr>
          <w:rFonts w:hint="eastAsia" w:ascii="Times New Roman" w:hAnsi="Times New Roman" w:eastAsia="Times New Roman" w:cs="Times New Roman"/>
          <w:lang w:val="en-US" w:eastAsia="zh-CN"/>
        </w:rPr>
        <w:t xml:space="preserve"> For example, CDF supports to close CDRs due to time limit by 30 minutes for group A and by 15 minutes for group B </w:t>
      </w:r>
      <w:r>
        <w:rPr>
          <w:rFonts w:ascii="Times New Roman" w:hAnsi="Times New Roman" w:eastAsia="Times New Roman" w:cs="Times New Roman"/>
        </w:rPr>
        <w:t>simultaneously</w:t>
      </w:r>
      <w:r>
        <w:rPr>
          <w:rFonts w:hint="eastAsia" w:ascii="Times New Roman" w:hAnsi="Times New Roman" w:eastAsia="Times New Roman" w:cs="Times New Roman"/>
          <w:lang w:val="en-US" w:eastAsia="zh-CN"/>
        </w:rPr>
        <w:t>.</w:t>
      </w:r>
    </w:p>
    <w:p w14:paraId="161E92C3">
      <w:pPr>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When CGF closes CDR files based on certain operator configured parameters, such as</w:t>
      </w:r>
    </w:p>
    <w:p w14:paraId="69057A00">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file size limit,</w:t>
      </w:r>
    </w:p>
    <w:p w14:paraId="4239F2AC">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file duration (time) limit,</w:t>
      </w:r>
    </w:p>
    <w:p w14:paraId="557E1BD3">
      <w:pPr>
        <w:rPr>
          <w:i/>
        </w:rPr>
      </w:pPr>
      <w:r>
        <w:rPr>
          <w:rFonts w:hint="eastAsia" w:ascii="Times New Roman" w:hAnsi="Times New Roman" w:eastAsia="Times New Roman" w:cs="Times New Roman"/>
          <w:lang w:val="en-US" w:eastAsia="zh-CN"/>
        </w:rPr>
        <w:t xml:space="preserve">Multiple </w:t>
      </w:r>
      <w:r>
        <w:rPr>
          <w:rFonts w:hint="eastAsia" w:ascii="Times New Roman" w:hAnsi="Times New Roman" w:eastAsia="Times New Roman" w:cs="Times New Roman"/>
        </w:rPr>
        <w:t xml:space="preserve">threshold for </w:t>
      </w:r>
      <w:r>
        <w:rPr>
          <w:rFonts w:hint="eastAsia" w:ascii="Times New Roman" w:hAnsi="Times New Roman" w:eastAsia="Times New Roman" w:cs="Times New Roman"/>
          <w:lang w:val="en-US" w:eastAsia="zh-CN"/>
        </w:rPr>
        <w:t>one</w:t>
      </w:r>
      <w:r>
        <w:rPr>
          <w:rFonts w:hint="eastAsia" w:ascii="Times New Roman" w:hAnsi="Times New Roman" w:eastAsia="Times New Roman" w:cs="Times New Roman"/>
        </w:rPr>
        <w:t xml:space="preserve"> close reason </w:t>
      </w:r>
      <w:r>
        <w:rPr>
          <w:rFonts w:hint="eastAsia" w:ascii="Times New Roman" w:hAnsi="Times New Roman" w:eastAsia="Times New Roman" w:cs="Times New Roman"/>
          <w:lang w:val="en-US" w:eastAsia="zh-CN"/>
        </w:rPr>
        <w:t>can be configured by groups in one CGF</w:t>
      </w:r>
      <w:r>
        <w:rPr>
          <w:rFonts w:hint="eastAsia" w:ascii="Times New Roman" w:hAnsi="Times New Roman" w:eastAsia="Times New Roman" w:cs="Times New Roman"/>
        </w:rPr>
        <w:t>.</w:t>
      </w:r>
      <w:r>
        <w:rPr>
          <w:rFonts w:hint="eastAsia" w:ascii="Times New Roman" w:hAnsi="Times New Roman" w:eastAsia="Times New Roman" w:cs="Times New Roman"/>
          <w:lang w:val="en-US" w:eastAsia="zh-CN"/>
        </w:rPr>
        <w:t xml:space="preserve"> For example, CGF supports to close CDR files due to file duration limit by 15 minutes for group A and by 5 minutes for group B </w:t>
      </w:r>
      <w:r>
        <w:rPr>
          <w:rFonts w:ascii="Times New Roman" w:hAnsi="Times New Roman" w:eastAsia="Times New Roman" w:cs="Times New Roman"/>
        </w:rPr>
        <w:t>simultaneously</w:t>
      </w:r>
      <w:r>
        <w:rPr>
          <w:rFonts w:hint="eastAsia" w:ascii="Times New Roman" w:hAnsi="Times New Roman" w:eastAsia="Times New Roman" w:cs="Times New Roman"/>
          <w:lang w:val="en-US" w:eastAsia="zh-CN"/>
        </w:rPr>
        <w:t>.</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6389"/>
    <w:rsid w:val="0006222D"/>
    <w:rsid w:val="00074722"/>
    <w:rsid w:val="0008083D"/>
    <w:rsid w:val="000819D8"/>
    <w:rsid w:val="00085D0B"/>
    <w:rsid w:val="000934A6"/>
    <w:rsid w:val="000A2C6C"/>
    <w:rsid w:val="000A4660"/>
    <w:rsid w:val="000D1B5B"/>
    <w:rsid w:val="000E626A"/>
    <w:rsid w:val="0010401F"/>
    <w:rsid w:val="00112FC3"/>
    <w:rsid w:val="001152C8"/>
    <w:rsid w:val="001343B4"/>
    <w:rsid w:val="00147E06"/>
    <w:rsid w:val="00162676"/>
    <w:rsid w:val="00173FA3"/>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E42C0"/>
    <w:rsid w:val="003F52B2"/>
    <w:rsid w:val="0041632F"/>
    <w:rsid w:val="00424E78"/>
    <w:rsid w:val="00440414"/>
    <w:rsid w:val="004558E9"/>
    <w:rsid w:val="0045777E"/>
    <w:rsid w:val="004B3753"/>
    <w:rsid w:val="004C31D2"/>
    <w:rsid w:val="004D55C2"/>
    <w:rsid w:val="004F0E5C"/>
    <w:rsid w:val="004F58D4"/>
    <w:rsid w:val="004F5A0A"/>
    <w:rsid w:val="00512A5C"/>
    <w:rsid w:val="00521131"/>
    <w:rsid w:val="00527C0B"/>
    <w:rsid w:val="005303AF"/>
    <w:rsid w:val="005410F6"/>
    <w:rsid w:val="0054774D"/>
    <w:rsid w:val="0055412D"/>
    <w:rsid w:val="005729C4"/>
    <w:rsid w:val="00577BC6"/>
    <w:rsid w:val="0059227B"/>
    <w:rsid w:val="005B0966"/>
    <w:rsid w:val="005B795D"/>
    <w:rsid w:val="00610508"/>
    <w:rsid w:val="00613820"/>
    <w:rsid w:val="00630609"/>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326E1"/>
    <w:rsid w:val="00947F4E"/>
    <w:rsid w:val="00966D47"/>
    <w:rsid w:val="00992312"/>
    <w:rsid w:val="009A45F7"/>
    <w:rsid w:val="009C0DED"/>
    <w:rsid w:val="009D53AD"/>
    <w:rsid w:val="00A004B4"/>
    <w:rsid w:val="00A117D5"/>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1472D"/>
    <w:rsid w:val="00C22D17"/>
    <w:rsid w:val="00C26BB2"/>
    <w:rsid w:val="00C30C26"/>
    <w:rsid w:val="00C403CD"/>
    <w:rsid w:val="00C4095A"/>
    <w:rsid w:val="00C4712D"/>
    <w:rsid w:val="00C555C9"/>
    <w:rsid w:val="00C94F55"/>
    <w:rsid w:val="00CA7D62"/>
    <w:rsid w:val="00CB07A8"/>
    <w:rsid w:val="00CD4A57"/>
    <w:rsid w:val="00D146F1"/>
    <w:rsid w:val="00D33604"/>
    <w:rsid w:val="00D35C18"/>
    <w:rsid w:val="00D366C4"/>
    <w:rsid w:val="00D37460"/>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073D4"/>
    <w:rsid w:val="00E30155"/>
    <w:rsid w:val="00E67ABE"/>
    <w:rsid w:val="00E82D8D"/>
    <w:rsid w:val="00E91FE1"/>
    <w:rsid w:val="00EA5E95"/>
    <w:rsid w:val="00ED4954"/>
    <w:rsid w:val="00ED5A43"/>
    <w:rsid w:val="00EE0943"/>
    <w:rsid w:val="00EE33A2"/>
    <w:rsid w:val="00F526B6"/>
    <w:rsid w:val="00F67A1C"/>
    <w:rsid w:val="00F7493F"/>
    <w:rsid w:val="00F82C5B"/>
    <w:rsid w:val="00F85325"/>
    <w:rsid w:val="00F8555F"/>
    <w:rsid w:val="00FB0B3F"/>
    <w:rsid w:val="00FB3E36"/>
    <w:rsid w:val="00FE6F70"/>
    <w:rsid w:val="00FF4910"/>
    <w:rsid w:val="09562D13"/>
    <w:rsid w:val="2D8C1F7B"/>
    <w:rsid w:val="310E5FC1"/>
    <w:rsid w:val="34754E2F"/>
    <w:rsid w:val="3FD4595B"/>
    <w:rsid w:val="473B1219"/>
    <w:rsid w:val="5DCA7D57"/>
    <w:rsid w:val="61683641"/>
    <w:rsid w:val="71115553"/>
    <w:rsid w:val="7FEF24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617</Words>
  <Characters>3105</Characters>
  <Lines>5</Lines>
  <Paragraphs>1</Paragraphs>
  <TotalTime>1</TotalTime>
  <ScaleCrop>false</ScaleCrop>
  <LinksUpToDate>false</LinksUpToDate>
  <CharactersWithSpaces>3687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企业用户_480419038</cp:lastModifiedBy>
  <cp:lastPrinted>2411-12-31T23:00:00Z</cp:lastPrinted>
  <dcterms:modified xsi:type="dcterms:W3CDTF">2025-08-15T11:59:22Z</dcterms:modified>
  <dc:title>3GPP Contribution</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TemplateDocerSaveRecord">
    <vt:lpwstr>eyJoZGlkIjoiZGQ1OTE3MTdlZDBmNjI2Y2FiODhjYzQ4ZmU5MTAxMmUiLCJ1c2VySWQiOiIxNTY5OTc1MDQwIn0=</vt:lpwstr>
  </property>
  <property fmtid="{D5CDD505-2E9C-101B-9397-08002B2CF9AE}" pid="5" name="KSOProductBuildVer">
    <vt:lpwstr>2052-12.1.0.21915</vt:lpwstr>
  </property>
  <property fmtid="{D5CDD505-2E9C-101B-9397-08002B2CF9AE}" pid="6" name="ICV">
    <vt:lpwstr>3518E78F099B4870B9B364872FCC0E7E_13</vt:lpwstr>
  </property>
</Properties>
</file>